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CEA" w:rsidRDefault="00310CEA">
      <w:pPr>
        <w:ind w:firstLine="708"/>
        <w:jc w:val="center"/>
        <w:rPr>
          <w:b/>
          <w:bCs/>
          <w:sz w:val="16"/>
          <w:szCs w:val="16"/>
        </w:rPr>
      </w:pPr>
    </w:p>
    <w:p w:rsidR="00310CEA" w:rsidRDefault="002D4D2B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КРИТЕРИИ ЗА ПОДБОР НА УЧИТЕЛИ ЗА УЧАСТИЕ В</w:t>
      </w:r>
    </w:p>
    <w:p w:rsidR="00310CEA" w:rsidRDefault="002D4D2B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МОБИЛНОСТ НАБЛЮДЕНИЕ НА ДОБРИ ПЕДАГОГИЧЕСКИ ПРАКТИКИ (Job shadowing)</w:t>
      </w:r>
    </w:p>
    <w:p w:rsidR="00310CEA" w:rsidRDefault="002D4D2B">
      <w:pPr>
        <w:widowControl w:val="0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за 2026/2027 учебна година</w:t>
      </w:r>
    </w:p>
    <w:p w:rsidR="00310CEA" w:rsidRDefault="002D4D2B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по Проект № 2026-1-BG01-KA121-SCH-000417331</w:t>
      </w:r>
    </w:p>
    <w:p w:rsidR="00310CEA" w:rsidRDefault="002D4D2B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съфинансиран по Програма „Еразъм+“ на Европейския съюз, Ключова дейност 1 „Образователна мобилност за граждани”, сектор „Училищно образование”</w:t>
      </w:r>
    </w:p>
    <w:p w:rsidR="00310CEA" w:rsidRDefault="00310CEA">
      <w:pPr>
        <w:widowControl w:val="0"/>
        <w:jc w:val="center"/>
        <w:rPr>
          <w:sz w:val="24"/>
          <w:szCs w:val="24"/>
        </w:rPr>
      </w:pPr>
    </w:p>
    <w:p w:rsidR="00310CEA" w:rsidRDefault="002D4D2B">
      <w:pPr>
        <w:widowControl w:val="0"/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Принципи за подбор:</w:t>
      </w:r>
    </w:p>
    <w:p w:rsidR="00310CEA" w:rsidRDefault="002D4D2B">
      <w:pPr>
        <w:widowControl w:val="0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Съобразно заложения в Проекта профил на педагогическия персонал по конкретното направление;</w:t>
      </w:r>
    </w:p>
    <w:p w:rsidR="00310CEA" w:rsidRDefault="002D4D2B">
      <w:pPr>
        <w:widowControl w:val="0"/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Условия за подбор:</w:t>
      </w:r>
    </w:p>
    <w:p w:rsidR="00310CEA" w:rsidRDefault="002D4D2B">
      <w:pPr>
        <w:widowControl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Право да се кандидатират за участие в мобилност имат ръководни кадри и учители от следните целеви групи:</w:t>
      </w:r>
    </w:p>
    <w:p w:rsidR="00310CEA" w:rsidRDefault="002D4D2B">
      <w:pPr>
        <w:widowControl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b/>
          <w:bCs/>
          <w:sz w:val="24"/>
          <w:szCs w:val="24"/>
        </w:rPr>
        <w:t>Направление 1: „Дигитални технологии и STEM“</w:t>
      </w:r>
      <w:r>
        <w:rPr>
          <w:sz w:val="24"/>
          <w:szCs w:val="24"/>
        </w:rPr>
        <w:t xml:space="preserve"> - учители от ПУО „Природни науки“ и такива, които преподават по теми и дисциплини, с</w:t>
      </w:r>
      <w:r>
        <w:rPr>
          <w:sz w:val="24"/>
          <w:szCs w:val="24"/>
        </w:rPr>
        <w:t>вързани с ИКТ и STEM, от трите нива на образователна степен.</w:t>
      </w:r>
    </w:p>
    <w:p w:rsidR="00310CEA" w:rsidRDefault="002D4D2B">
      <w:pPr>
        <w:widowControl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b/>
          <w:bCs/>
          <w:sz w:val="24"/>
          <w:szCs w:val="24"/>
        </w:rPr>
        <w:t>Направление 2: „Опазване на околната среда, устойчиво развитие и здраве“</w:t>
      </w:r>
      <w:r>
        <w:rPr>
          <w:sz w:val="24"/>
          <w:szCs w:val="24"/>
        </w:rPr>
        <w:t xml:space="preserve"> -  преподаватели от ПУО „Начален етап“ и ПУО „Природни науки“. </w:t>
      </w:r>
    </w:p>
    <w:p w:rsidR="00310CEA" w:rsidRDefault="002D4D2B">
      <w:pPr>
        <w:widowControl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b/>
          <w:bCs/>
          <w:sz w:val="24"/>
          <w:szCs w:val="24"/>
        </w:rPr>
        <w:t xml:space="preserve">Направление 3: „Подкрепа за личностното развитие на </w:t>
      </w:r>
      <w:r>
        <w:rPr>
          <w:b/>
          <w:bCs/>
          <w:sz w:val="24"/>
          <w:szCs w:val="24"/>
        </w:rPr>
        <w:t xml:space="preserve">учениците“ </w:t>
      </w:r>
      <w:r>
        <w:rPr>
          <w:sz w:val="24"/>
          <w:szCs w:val="24"/>
        </w:rPr>
        <w:t xml:space="preserve">- </w:t>
      </w:r>
    </w:p>
    <w:p w:rsidR="00310CEA" w:rsidRDefault="002D4D2B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преподаватели от ПУО „Начален етап“ и ПУО „Обществени науки“;</w:t>
      </w:r>
    </w:p>
    <w:p w:rsidR="00310CEA" w:rsidRDefault="002D4D2B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училищни психолози, класни ръководители и преподаватели, работещи с ученици със специални образователни потребности.</w:t>
      </w:r>
    </w:p>
    <w:p w:rsidR="00310CEA" w:rsidRDefault="00310CEA">
      <w:pPr>
        <w:widowControl w:val="0"/>
        <w:jc w:val="both"/>
        <w:rPr>
          <w:sz w:val="24"/>
          <w:szCs w:val="24"/>
        </w:rPr>
      </w:pPr>
    </w:p>
    <w:p w:rsidR="00310CEA" w:rsidRDefault="002D4D2B">
      <w:pPr>
        <w:widowControl w:val="0"/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Общ критерий</w:t>
      </w:r>
      <w:r>
        <w:rPr>
          <w:sz w:val="24"/>
          <w:szCs w:val="24"/>
        </w:rPr>
        <w:t xml:space="preserve"> за всички преподаватели е наличие на владеене на </w:t>
      </w:r>
      <w:r>
        <w:rPr>
          <w:sz w:val="24"/>
          <w:szCs w:val="24"/>
        </w:rPr>
        <w:t>английски език минимум ниво B1.</w:t>
      </w:r>
    </w:p>
    <w:p w:rsidR="00310CEA" w:rsidRDefault="00310CEA">
      <w:pPr>
        <w:widowControl w:val="0"/>
        <w:jc w:val="both"/>
        <w:rPr>
          <w:sz w:val="24"/>
          <w:szCs w:val="24"/>
        </w:rPr>
      </w:pPr>
    </w:p>
    <w:p w:rsidR="00310CEA" w:rsidRDefault="002D4D2B">
      <w:pPr>
        <w:widowControl w:val="0"/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Очаквани резултати:</w:t>
      </w:r>
    </w:p>
    <w:p w:rsidR="00310CEA" w:rsidRDefault="002D4D2B">
      <w:pPr>
        <w:widowControl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Представителите на описаните целеви групи в настоящия проект ще подпомогнат процеса по въвеждане на иновации в образователния процес, ще въведат по-атрактивни методи на преподаване и ще допринесат за по-</w:t>
      </w:r>
      <w:r>
        <w:rPr>
          <w:sz w:val="24"/>
          <w:szCs w:val="24"/>
        </w:rPr>
        <w:t>плавен преход от училище към следваща образователна степен и/или професионална реализация на учениците. Класираните участници ще трябва да отговорят на съвременните необходимости и действащата стратегия за развитие на 2. СУ.</w:t>
      </w:r>
    </w:p>
    <w:p w:rsidR="00310CEA" w:rsidRDefault="00310CEA">
      <w:pPr>
        <w:widowControl w:val="0"/>
        <w:jc w:val="both"/>
        <w:rPr>
          <w:sz w:val="24"/>
          <w:szCs w:val="24"/>
        </w:rPr>
      </w:pPr>
    </w:p>
    <w:p w:rsidR="00310CEA" w:rsidRDefault="002D4D2B">
      <w:pPr>
        <w:widowControl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участие в мобилността </w:t>
      </w:r>
      <w:r>
        <w:rPr>
          <w:i/>
          <w:iCs/>
          <w:sz w:val="24"/>
          <w:szCs w:val="24"/>
        </w:rPr>
        <w:t>Job s</w:t>
      </w:r>
      <w:r>
        <w:rPr>
          <w:i/>
          <w:iCs/>
          <w:sz w:val="24"/>
          <w:szCs w:val="24"/>
        </w:rPr>
        <w:t>hadowing</w:t>
      </w:r>
      <w:r>
        <w:rPr>
          <w:sz w:val="24"/>
          <w:szCs w:val="24"/>
        </w:rPr>
        <w:t xml:space="preserve"> по всяко едно от трите направления се класират по </w:t>
      </w:r>
      <w:r>
        <w:rPr>
          <w:b/>
          <w:bCs/>
          <w:sz w:val="24"/>
          <w:szCs w:val="24"/>
        </w:rPr>
        <w:t>трима кандидати</w:t>
      </w:r>
      <w:r>
        <w:rPr>
          <w:sz w:val="24"/>
          <w:szCs w:val="24"/>
        </w:rPr>
        <w:t xml:space="preserve"> и две резерви.</w:t>
      </w:r>
    </w:p>
    <w:p w:rsidR="00310CEA" w:rsidRDefault="00310CEA">
      <w:pPr>
        <w:widowControl w:val="0"/>
        <w:jc w:val="both"/>
        <w:rPr>
          <w:sz w:val="24"/>
          <w:szCs w:val="24"/>
        </w:rPr>
      </w:pPr>
    </w:p>
    <w:p w:rsidR="00310CEA" w:rsidRDefault="00310CEA">
      <w:pPr>
        <w:widowControl w:val="0"/>
        <w:jc w:val="both"/>
        <w:rPr>
          <w:sz w:val="24"/>
          <w:szCs w:val="24"/>
        </w:rPr>
      </w:pPr>
    </w:p>
    <w:p w:rsidR="00310CEA" w:rsidRDefault="00310CEA">
      <w:pPr>
        <w:widowControl w:val="0"/>
        <w:jc w:val="both"/>
        <w:rPr>
          <w:sz w:val="24"/>
          <w:szCs w:val="24"/>
        </w:rPr>
      </w:pPr>
    </w:p>
    <w:p w:rsidR="00310CEA" w:rsidRDefault="00310CEA">
      <w:pPr>
        <w:widowControl w:val="0"/>
        <w:jc w:val="both"/>
        <w:rPr>
          <w:sz w:val="24"/>
          <w:szCs w:val="24"/>
        </w:rPr>
      </w:pPr>
    </w:p>
    <w:p w:rsidR="00310CEA" w:rsidRDefault="00310CEA">
      <w:pPr>
        <w:widowControl w:val="0"/>
        <w:jc w:val="both"/>
        <w:rPr>
          <w:sz w:val="24"/>
          <w:szCs w:val="24"/>
        </w:rPr>
      </w:pPr>
    </w:p>
    <w:p w:rsidR="00310CEA" w:rsidRDefault="00310CEA">
      <w:pPr>
        <w:widowControl w:val="0"/>
        <w:jc w:val="both"/>
        <w:rPr>
          <w:sz w:val="24"/>
          <w:szCs w:val="24"/>
        </w:rPr>
      </w:pPr>
    </w:p>
    <w:p w:rsidR="00310CEA" w:rsidRDefault="00310CEA">
      <w:pPr>
        <w:widowControl w:val="0"/>
        <w:jc w:val="center"/>
        <w:rPr>
          <w:sz w:val="2"/>
          <w:szCs w:val="2"/>
        </w:rPr>
      </w:pPr>
    </w:p>
    <w:p w:rsidR="00310CEA" w:rsidRDefault="00310CEA">
      <w:pPr>
        <w:widowControl w:val="0"/>
        <w:jc w:val="center"/>
        <w:rPr>
          <w:sz w:val="2"/>
          <w:szCs w:val="2"/>
        </w:rPr>
      </w:pPr>
    </w:p>
    <w:p w:rsidR="00310CEA" w:rsidRDefault="00310CEA">
      <w:pPr>
        <w:widowControl w:val="0"/>
        <w:jc w:val="center"/>
        <w:rPr>
          <w:sz w:val="2"/>
          <w:szCs w:val="2"/>
        </w:rPr>
      </w:pPr>
    </w:p>
    <w:p w:rsidR="00310CEA" w:rsidRDefault="00310CEA">
      <w:pPr>
        <w:widowControl w:val="0"/>
        <w:jc w:val="center"/>
        <w:rPr>
          <w:b/>
          <w:bCs/>
        </w:rPr>
      </w:pPr>
    </w:p>
    <w:p w:rsidR="00310CEA" w:rsidRDefault="00310CEA">
      <w:pPr>
        <w:widowControl w:val="0"/>
        <w:jc w:val="center"/>
        <w:rPr>
          <w:b/>
          <w:bCs/>
        </w:rPr>
      </w:pPr>
    </w:p>
    <w:p w:rsidR="00310CEA" w:rsidRDefault="00310CEA">
      <w:pPr>
        <w:widowControl w:val="0"/>
        <w:jc w:val="center"/>
        <w:rPr>
          <w:b/>
          <w:bCs/>
        </w:rPr>
      </w:pPr>
    </w:p>
    <w:p w:rsidR="00310CEA" w:rsidRDefault="002D4D2B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Критерии за подбор по Направление 1: „Дигитални технологии и STEM“</w:t>
      </w:r>
    </w:p>
    <w:p w:rsidR="00310CEA" w:rsidRDefault="002D4D2B">
      <w:pPr>
        <w:widowControl w:val="0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Мобилност:  </w:t>
      </w:r>
      <w:r>
        <w:rPr>
          <w:b/>
          <w:bCs/>
          <w:i/>
          <w:iCs/>
          <w:sz w:val="24"/>
          <w:szCs w:val="24"/>
        </w:rPr>
        <w:t>Job shadowing</w:t>
      </w:r>
    </w:p>
    <w:p w:rsidR="00310CEA" w:rsidRDefault="00310CEA">
      <w:pPr>
        <w:widowControl w:val="0"/>
        <w:jc w:val="center"/>
        <w:rPr>
          <w:b/>
          <w:bCs/>
        </w:rPr>
      </w:pPr>
    </w:p>
    <w:sdt>
      <w:sdtPr>
        <w:tag w:val="goog_rdk_0"/>
        <w:id w:val="626606268"/>
        <w:lock w:val="contentLocked"/>
      </w:sdtPr>
      <w:sdtEndPr/>
      <w:sdtContent>
        <w:tbl>
          <w:tblPr>
            <w:tblStyle w:val="a8"/>
            <w:tblW w:w="9497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600" w:firstRow="0" w:lastRow="0" w:firstColumn="0" w:lastColumn="0" w:noHBand="1" w:noVBand="1"/>
          </w:tblPr>
          <w:tblGrid>
            <w:gridCol w:w="4748"/>
            <w:gridCol w:w="4749"/>
          </w:tblGrid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Критерии</w:t>
                </w:r>
              </w:p>
            </w:tc>
            <w:tc>
              <w:tcPr>
                <w:tcW w:w="4748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Максимален брой точки (45 т.)</w:t>
                </w:r>
              </w:p>
            </w:tc>
          </w:tr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 xml:space="preserve">1) Езикова подготовка - </w:t>
                </w:r>
                <w:r>
                  <w:rPr>
                    <w:i/>
                    <w:iCs/>
                    <w:sz w:val="24"/>
                    <w:szCs w:val="24"/>
                  </w:rPr>
                  <w:t>мин. ниво B1, доказана със сертификат или диплома от университет.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310CE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2D4D2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10 т.</w:t>
                </w:r>
              </w:p>
            </w:tc>
          </w:tr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 xml:space="preserve">2) Да преподават предмет или теми свързани с ИКТ и STEM – </w:t>
                </w:r>
                <w:r>
                  <w:rPr>
                    <w:i/>
                    <w:iCs/>
                    <w:sz w:val="24"/>
                    <w:szCs w:val="24"/>
                  </w:rPr>
                  <w:t>природни науки, математика, информатика и други.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310CE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2D4D2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15 т.</w:t>
                </w:r>
              </w:p>
            </w:tc>
          </w:tr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3) Мотивационно писмо:</w:t>
                </w:r>
              </w:p>
              <w:p w:rsidR="00310CEA" w:rsidRDefault="002D4D2B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i/>
                    <w:iCs/>
                    <w:sz w:val="24"/>
                    <w:szCs w:val="24"/>
                  </w:rPr>
                  <w:t>описани ясни и конкретни мотиви за участие в мобилността и последващо прилагане и разпространение на наученото в педагогическата си практика.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310CE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310CE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2D4D2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20 т.</w:t>
                </w:r>
              </w:p>
            </w:tc>
          </w:tr>
        </w:tbl>
      </w:sdtContent>
    </w:sdt>
    <w:p w:rsidR="00310CEA" w:rsidRDefault="00310CEA">
      <w:pPr>
        <w:widowControl w:val="0"/>
        <w:jc w:val="center"/>
        <w:rPr>
          <w:b/>
          <w:bCs/>
        </w:rPr>
      </w:pPr>
    </w:p>
    <w:p w:rsidR="00310CEA" w:rsidRDefault="00310CEA">
      <w:pPr>
        <w:widowControl w:val="0"/>
        <w:jc w:val="center"/>
        <w:rPr>
          <w:b/>
          <w:bCs/>
        </w:rPr>
      </w:pPr>
    </w:p>
    <w:p w:rsidR="00310CEA" w:rsidRDefault="002D4D2B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Критерии за подбор по Направление 2: „Опазване на околната среда, устойчиво развитие и здраве“</w:t>
      </w:r>
    </w:p>
    <w:p w:rsidR="00310CEA" w:rsidRDefault="002D4D2B">
      <w:pPr>
        <w:widowControl w:val="0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Мобилност:  </w:t>
      </w:r>
      <w:r>
        <w:rPr>
          <w:b/>
          <w:bCs/>
          <w:i/>
          <w:iCs/>
          <w:sz w:val="24"/>
          <w:szCs w:val="24"/>
        </w:rPr>
        <w:t>Job shadowing</w:t>
      </w:r>
    </w:p>
    <w:p w:rsidR="00310CEA" w:rsidRDefault="00310CEA">
      <w:pPr>
        <w:widowControl w:val="0"/>
        <w:jc w:val="center"/>
        <w:rPr>
          <w:b/>
          <w:bCs/>
        </w:rPr>
      </w:pPr>
    </w:p>
    <w:p w:rsidR="00310CEA" w:rsidRDefault="00310CEA">
      <w:pPr>
        <w:widowControl w:val="0"/>
        <w:jc w:val="center"/>
        <w:rPr>
          <w:b/>
          <w:bCs/>
        </w:rPr>
      </w:pPr>
    </w:p>
    <w:sdt>
      <w:sdtPr>
        <w:tag w:val="goog_rdk_1"/>
        <w:id w:val="-1862325638"/>
        <w:lock w:val="contentLocked"/>
      </w:sdtPr>
      <w:sdtEndPr/>
      <w:sdtContent>
        <w:tbl>
          <w:tblPr>
            <w:tblStyle w:val="a9"/>
            <w:tblW w:w="9497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600" w:firstRow="0" w:lastRow="0" w:firstColumn="0" w:lastColumn="0" w:noHBand="1" w:noVBand="1"/>
          </w:tblPr>
          <w:tblGrid>
            <w:gridCol w:w="4748"/>
            <w:gridCol w:w="4749"/>
          </w:tblGrid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Критерии</w:t>
                </w:r>
              </w:p>
            </w:tc>
            <w:tc>
              <w:tcPr>
                <w:tcW w:w="4748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Максимален брой точки (45 т.)</w:t>
                </w:r>
              </w:p>
            </w:tc>
          </w:tr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 xml:space="preserve">1) Езикова подготовка - </w:t>
                </w:r>
                <w:r>
                  <w:rPr>
                    <w:i/>
                    <w:iCs/>
                    <w:sz w:val="24"/>
                    <w:szCs w:val="24"/>
                  </w:rPr>
                  <w:t>мин. ниво B1, доказана със сертификат или диплома от университет.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310CEA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2D4D2B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10 т.</w:t>
                </w:r>
              </w:p>
            </w:tc>
          </w:tr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rPr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2) Преподаватели от</w:t>
                </w:r>
                <w:r>
                  <w:rPr>
                    <w:sz w:val="24"/>
                    <w:szCs w:val="24"/>
                  </w:rPr>
                  <w:t xml:space="preserve"> ПУО:</w:t>
                </w:r>
              </w:p>
              <w:p w:rsidR="00310CEA" w:rsidRDefault="002D4D2B">
                <w:pPr>
                  <w:widowControl w:val="0"/>
                  <w:numPr>
                    <w:ilvl w:val="0"/>
                    <w:numId w:val="6"/>
                  </w:num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„Начален етап“;</w:t>
                </w:r>
              </w:p>
              <w:p w:rsidR="00310CEA" w:rsidRDefault="002D4D2B">
                <w:pPr>
                  <w:widowControl w:val="0"/>
                  <w:numPr>
                    <w:ilvl w:val="0"/>
                    <w:numId w:val="6"/>
                  </w:num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„Природни науки“.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310CEA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2D4D2B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15 т.</w:t>
                </w:r>
              </w:p>
            </w:tc>
          </w:tr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3) Мотивационно писмо:</w:t>
                </w:r>
              </w:p>
              <w:p w:rsidR="00310CEA" w:rsidRDefault="002D4D2B">
                <w:pPr>
                  <w:widowControl w:val="0"/>
                  <w:numPr>
                    <w:ilvl w:val="0"/>
                    <w:numId w:val="4"/>
                  </w:numPr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i/>
                    <w:iCs/>
                    <w:sz w:val="24"/>
                    <w:szCs w:val="24"/>
                  </w:rPr>
                  <w:t>описани ясни и конкретни мотиви за участие в мобилността и последващо прилагане и разпространение на наученото в педагогическата си практика.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310CEA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310CEA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2D4D2B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20 т.</w:t>
                </w:r>
              </w:p>
            </w:tc>
          </w:tr>
        </w:tbl>
      </w:sdtContent>
    </w:sdt>
    <w:p w:rsidR="00310CEA" w:rsidRDefault="00310CEA">
      <w:pPr>
        <w:widowControl w:val="0"/>
        <w:jc w:val="center"/>
        <w:rPr>
          <w:b/>
          <w:bCs/>
        </w:rPr>
      </w:pPr>
    </w:p>
    <w:p w:rsidR="00310CEA" w:rsidRDefault="00310CEA">
      <w:pPr>
        <w:widowControl w:val="0"/>
        <w:jc w:val="center"/>
        <w:rPr>
          <w:b/>
          <w:bCs/>
          <w:sz w:val="24"/>
          <w:szCs w:val="24"/>
        </w:rPr>
      </w:pPr>
    </w:p>
    <w:p w:rsidR="00310CEA" w:rsidRDefault="00310CEA">
      <w:pPr>
        <w:widowControl w:val="0"/>
        <w:jc w:val="center"/>
        <w:rPr>
          <w:b/>
          <w:bCs/>
          <w:sz w:val="24"/>
          <w:szCs w:val="24"/>
        </w:rPr>
      </w:pPr>
    </w:p>
    <w:p w:rsidR="00170127" w:rsidRDefault="00170127">
      <w:pPr>
        <w:widowControl w:val="0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310CEA" w:rsidRDefault="00310CEA">
      <w:pPr>
        <w:widowControl w:val="0"/>
        <w:jc w:val="center"/>
        <w:rPr>
          <w:b/>
          <w:bCs/>
          <w:sz w:val="24"/>
          <w:szCs w:val="24"/>
        </w:rPr>
      </w:pPr>
    </w:p>
    <w:p w:rsidR="00310CEA" w:rsidRDefault="002D4D2B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Критерии за подбор по Направление 3: „Подкрепа за личностното развитие на учениците“</w:t>
      </w:r>
    </w:p>
    <w:p w:rsidR="00310CEA" w:rsidRDefault="002D4D2B">
      <w:pPr>
        <w:widowControl w:val="0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Мобилност:  </w:t>
      </w:r>
      <w:r>
        <w:rPr>
          <w:b/>
          <w:bCs/>
          <w:i/>
          <w:iCs/>
          <w:sz w:val="24"/>
          <w:szCs w:val="24"/>
        </w:rPr>
        <w:t>Job-shadowing</w:t>
      </w:r>
    </w:p>
    <w:p w:rsidR="00310CEA" w:rsidRDefault="00310CEA">
      <w:pPr>
        <w:widowControl w:val="0"/>
        <w:jc w:val="center"/>
        <w:rPr>
          <w:b/>
          <w:bCs/>
        </w:rPr>
      </w:pPr>
    </w:p>
    <w:p w:rsidR="00310CEA" w:rsidRDefault="00310CEA">
      <w:pPr>
        <w:widowControl w:val="0"/>
        <w:jc w:val="center"/>
        <w:rPr>
          <w:b/>
          <w:bCs/>
        </w:rPr>
      </w:pPr>
    </w:p>
    <w:sdt>
      <w:sdtPr>
        <w:tag w:val="goog_rdk_2"/>
        <w:id w:val="652265448"/>
        <w:lock w:val="contentLocked"/>
      </w:sdtPr>
      <w:sdtEndPr/>
      <w:sdtContent>
        <w:tbl>
          <w:tblPr>
            <w:tblStyle w:val="aa"/>
            <w:tblW w:w="9497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600" w:firstRow="0" w:lastRow="0" w:firstColumn="0" w:lastColumn="0" w:noHBand="1" w:noVBand="1"/>
          </w:tblPr>
          <w:tblGrid>
            <w:gridCol w:w="4748"/>
            <w:gridCol w:w="4749"/>
          </w:tblGrid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Критерии</w:t>
                </w:r>
              </w:p>
            </w:tc>
            <w:tc>
              <w:tcPr>
                <w:tcW w:w="4748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Максимален брой точки (45 т.)</w:t>
                </w:r>
              </w:p>
            </w:tc>
          </w:tr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 xml:space="preserve">1) Езикова подготовка - </w:t>
                </w:r>
                <w:r>
                  <w:rPr>
                    <w:i/>
                    <w:iCs/>
                    <w:sz w:val="24"/>
                    <w:szCs w:val="24"/>
                  </w:rPr>
                  <w:t>мин. ниво B1, доказана със сертификат или диплома от университет.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310CEA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2D4D2B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10 т.</w:t>
                </w:r>
              </w:p>
            </w:tc>
          </w:tr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2) Преподаватели от:</w:t>
                </w:r>
              </w:p>
              <w:p w:rsidR="00310CEA" w:rsidRDefault="002D4D2B">
                <w:pPr>
                  <w:widowControl w:val="0"/>
                  <w:numPr>
                    <w:ilvl w:val="0"/>
                    <w:numId w:val="3"/>
                  </w:num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ПУО „Начален етап“ и ПУО „Обществени науки“; </w:t>
                </w:r>
              </w:p>
              <w:p w:rsidR="00310CEA" w:rsidRDefault="002D4D2B">
                <w:pPr>
                  <w:widowControl w:val="0"/>
                  <w:numPr>
                    <w:ilvl w:val="0"/>
                    <w:numId w:val="3"/>
                  </w:numPr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училищни психолози, класни ръководители и преподаватели, работещи с ученици със специални образователни потребности.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310CEA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310CEA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2D4D2B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15 т.</w:t>
                </w:r>
              </w:p>
            </w:tc>
          </w:tr>
          <w:tr w:rsidR="00310CEA"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jc w:val="center"/>
            </w:trPr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2D4D2B">
                <w:pPr>
                  <w:widowControl w:val="0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3) Мотивационно писмо:</w:t>
                </w:r>
              </w:p>
              <w:p w:rsidR="00310CEA" w:rsidRDefault="002D4D2B">
                <w:pPr>
                  <w:widowControl w:val="0"/>
                  <w:numPr>
                    <w:ilvl w:val="0"/>
                    <w:numId w:val="1"/>
                  </w:numPr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i/>
                    <w:iCs/>
                    <w:sz w:val="24"/>
                    <w:szCs w:val="24"/>
                  </w:rPr>
                  <w:t>описани ясни и конкретни мотиви за учас</w:t>
                </w:r>
                <w:r>
                  <w:rPr>
                    <w:i/>
                    <w:iCs/>
                    <w:sz w:val="24"/>
                    <w:szCs w:val="24"/>
                  </w:rPr>
                  <w:t>тие в мобилността и последващо прилагане и разпространение на наученото в педагогическата си практика.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310CEA" w:rsidRDefault="00310CEA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310CEA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:rsidR="00310CEA" w:rsidRDefault="002D4D2B">
                <w:pPr>
                  <w:widowControl w:val="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20 т.</w:t>
                </w:r>
              </w:p>
            </w:tc>
          </w:tr>
        </w:tbl>
      </w:sdtContent>
    </w:sdt>
    <w:p w:rsidR="00310CEA" w:rsidRDefault="00310CEA">
      <w:pPr>
        <w:widowControl w:val="0"/>
        <w:jc w:val="center"/>
        <w:rPr>
          <w:b/>
          <w:bCs/>
        </w:rPr>
      </w:pPr>
    </w:p>
    <w:p w:rsidR="00310CEA" w:rsidRDefault="00310CEA">
      <w:pPr>
        <w:widowControl w:val="0"/>
        <w:jc w:val="center"/>
        <w:rPr>
          <w:b/>
          <w:bCs/>
        </w:rPr>
      </w:pPr>
    </w:p>
    <w:p w:rsidR="00310CEA" w:rsidRDefault="00310CEA">
      <w:pPr>
        <w:widowControl w:val="0"/>
        <w:jc w:val="center"/>
        <w:rPr>
          <w:b/>
          <w:bCs/>
          <w:color w:val="073763"/>
        </w:rPr>
      </w:pPr>
    </w:p>
    <w:p w:rsidR="00310CEA" w:rsidRDefault="002D4D2B">
      <w:pPr>
        <w:rPr>
          <w:b/>
          <w:bCs/>
        </w:rPr>
      </w:pPr>
      <w:r>
        <w:rPr>
          <w:b/>
          <w:bCs/>
          <w:i/>
          <w:iCs/>
          <w:sz w:val="22"/>
          <w:szCs w:val="22"/>
        </w:rPr>
        <w:t>Забележка</w:t>
      </w:r>
      <w:r>
        <w:t xml:space="preserve">: </w:t>
      </w:r>
      <w:r>
        <w:rPr>
          <w:i/>
          <w:iCs/>
          <w:sz w:val="22"/>
          <w:szCs w:val="22"/>
        </w:rPr>
        <w:t xml:space="preserve">При наличие на кандидати с еднакъв резултат, училищната комисия за подбор на кандидати си запазва правото да направи последващ подбор чрез интервю, включващо въпроси от обща езикова култура, умения за работа в екип, личностни характеристики. </w:t>
      </w:r>
    </w:p>
    <w:p w:rsidR="00310CEA" w:rsidRDefault="002D4D2B">
      <w:pPr>
        <w:widowControl w:val="0"/>
        <w:jc w:val="center"/>
        <w:rPr>
          <w:color w:val="1C4587"/>
        </w:rPr>
      </w:pPr>
      <w:r>
        <w:rPr>
          <w:color w:val="1C4587"/>
        </w:rPr>
        <w:t xml:space="preserve"> </w:t>
      </w:r>
    </w:p>
    <w:sectPr w:rsidR="00310CEA">
      <w:headerReference w:type="even" r:id="rId8"/>
      <w:headerReference w:type="default" r:id="rId9"/>
      <w:footerReference w:type="default" r:id="rId10"/>
      <w:pgSz w:w="11906" w:h="16838"/>
      <w:pgMar w:top="610" w:right="991" w:bottom="993" w:left="1418" w:header="284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D2B" w:rsidRDefault="002D4D2B">
      <w:r>
        <w:separator/>
      </w:r>
    </w:p>
  </w:endnote>
  <w:endnote w:type="continuationSeparator" w:id="0">
    <w:p w:rsidR="002D4D2B" w:rsidRDefault="002D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B3B1B504-25F6-45CB-AB97-B0154E9989E8}"/>
    <w:embedBold r:id="rId2" w:fontKey="{AA6F4B10-E02F-4C35-AB7C-7F610FAFEBD6}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605884D4-B75F-4516-8829-C15809EBB2C3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37733F84-136D-40A9-9698-F79B63DB4B0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B0181C6-6AE7-4D9F-B43E-D9372E894C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CEA" w:rsidRDefault="002D4D2B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l="0" t="0" r="0" b="0"/>
              <wp:wrapNone/>
              <wp:docPr id="354139558" name="Straight Arrow Connector 3541395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83625" y="3780000"/>
                        <a:ext cx="75247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5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310CEA" w:rsidRDefault="002D4D2B">
    <w:pPr>
      <w:widowControl w:val="0"/>
      <w:jc w:val="center"/>
      <w:rPr>
        <w:b/>
        <w:bCs/>
        <w:color w:val="073763"/>
        <w:sz w:val="16"/>
        <w:szCs w:val="16"/>
      </w:rPr>
    </w:pPr>
    <w:r>
      <w:rPr>
        <w:color w:val="073763"/>
        <w:sz w:val="16"/>
        <w:szCs w:val="16"/>
      </w:rPr>
      <w:t xml:space="preserve">Проект </w:t>
    </w:r>
    <w:r>
      <w:rPr>
        <w:color w:val="073763"/>
        <w:sz w:val="16"/>
        <w:szCs w:val="16"/>
      </w:rPr>
      <w:t>№ 2026-1-BG01-KA121-SCH-000417331</w:t>
    </w:r>
  </w:p>
  <w:p w:rsidR="00310CEA" w:rsidRDefault="002D4D2B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>е съфинансиран с подкрепата на Европейския съюз.Тази публикация отразява единствено виждан</w:t>
    </w:r>
    <w:r>
      <w:rPr>
        <w:color w:val="073763"/>
        <w:sz w:val="16"/>
        <w:szCs w:val="16"/>
      </w:rPr>
      <w:t>ията</w:t>
    </w:r>
  </w:p>
  <w:p w:rsidR="00310CEA" w:rsidRDefault="002D4D2B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>на авторите и Европейската комисия не носи отговорност за начина, по който може да бъде използвана</w:t>
    </w:r>
  </w:p>
  <w:p w:rsidR="00310CEA" w:rsidRDefault="002D4D2B">
    <w:pPr>
      <w:widowControl w:val="0"/>
      <w:jc w:val="center"/>
      <w:rPr>
        <w:color w:val="1C4587"/>
        <w:sz w:val="18"/>
        <w:szCs w:val="18"/>
      </w:rPr>
    </w:pPr>
    <w:r>
      <w:rPr>
        <w:color w:val="073763"/>
        <w:sz w:val="16"/>
        <w:szCs w:val="16"/>
      </w:rPr>
      <w:t xml:space="preserve">                     съдържащата се в нея информация.</w:t>
    </w:r>
    <w:r>
      <w:rPr>
        <w:color w:val="073763"/>
        <w:sz w:val="16"/>
        <w:szCs w:val="16"/>
      </w:rPr>
      <w:tab/>
    </w:r>
  </w:p>
  <w:p w:rsidR="00310CEA" w:rsidRDefault="00310CEA">
    <w:pPr>
      <w:widowControl w:val="0"/>
      <w:jc w:val="center"/>
      <w:rPr>
        <w:color w:val="1C4587"/>
        <w:sz w:val="16"/>
        <w:szCs w:val="16"/>
      </w:rPr>
    </w:pPr>
  </w:p>
  <w:p w:rsidR="00310CEA" w:rsidRDefault="002D4D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</w:pPr>
    <w:r>
      <w:tab/>
    </w:r>
    <w:r>
      <w:tab/>
    </w:r>
    <w:r>
      <w:fldChar w:fldCharType="begin"/>
    </w:r>
    <w:r>
      <w:instrText>PAGE</w:instrText>
    </w:r>
    <w:r w:rsidR="00170127">
      <w:fldChar w:fldCharType="separate"/>
    </w:r>
    <w:r w:rsidR="00170127">
      <w:rPr>
        <w:noProof/>
      </w:rPr>
      <w:t>3</w:t>
    </w:r>
    <w:r>
      <w:fldChar w:fldCharType="end"/>
    </w:r>
    <w:r>
      <w:t>/3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D2B" w:rsidRDefault="002D4D2B">
      <w:r>
        <w:separator/>
      </w:r>
    </w:p>
  </w:footnote>
  <w:footnote w:type="continuationSeparator" w:id="0">
    <w:p w:rsidR="002D4D2B" w:rsidRDefault="002D4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CEA" w:rsidRDefault="002D4D2B">
    <w:pPr>
      <w:pBdr>
        <w:top w:val="nil"/>
        <w:left w:val="nil"/>
        <w:bottom w:val="single" w:sz="4" w:space="6" w:color="0000FF"/>
        <w:right w:val="nil"/>
        <w:between w:val="nil"/>
      </w:pBdr>
      <w:tabs>
        <w:tab w:val="right" w:pos="14601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  <w:lang w:val="en-US"/>
      </w:rPr>
      <w:drawing>
        <wp:inline distT="0" distB="0" distL="114300" distR="114300">
          <wp:extent cx="5938520" cy="1905635"/>
          <wp:effectExtent l="0" t="0" r="0" b="0"/>
          <wp:docPr id="35413956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CEA" w:rsidRDefault="002D4D2B">
    <w:pPr>
      <w:pBdr>
        <w:bottom w:val="single" w:sz="24" w:space="1" w:color="595959"/>
      </w:pBdr>
      <w:tabs>
        <w:tab w:val="center" w:pos="4678"/>
        <w:tab w:val="right" w:pos="9356"/>
      </w:tabs>
      <w:spacing w:after="60"/>
      <w:jc w:val="center"/>
    </w:pPr>
    <w:r>
      <w:rPr>
        <w:noProof/>
        <w:sz w:val="24"/>
        <w:szCs w:val="24"/>
        <w:lang w:val="en-US"/>
      </w:rPr>
      <w:drawing>
        <wp:inline distT="0" distB="0" distL="114300" distR="114300">
          <wp:extent cx="1165225" cy="803910"/>
          <wp:effectExtent l="0" t="0" r="0" b="0"/>
          <wp:docPr id="35413955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5225" cy="803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color w:val="333333"/>
        <w:sz w:val="18"/>
        <w:szCs w:val="18"/>
        <w:highlight w:val="white"/>
      </w:rPr>
      <w:t xml:space="preserve">     </w:t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noProof/>
        <w:lang w:val="en-US"/>
      </w:rPr>
      <w:drawing>
        <wp:inline distT="0" distB="0" distL="114300" distR="114300">
          <wp:extent cx="1532268" cy="533400"/>
          <wp:effectExtent l="0" t="0" r="0" b="0"/>
          <wp:docPr id="35413956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sz w:val="14"/>
        <w:szCs w:val="14"/>
      </w:rPr>
      <w:t xml:space="preserve">                                                                   </w:t>
    </w:r>
    <w:r>
      <w:rPr>
        <w:b/>
        <w:bCs/>
      </w:rPr>
      <w:t>Проект № 2026-1-BG01-KA121-SCH-000417331</w:t>
    </w:r>
    <w:r>
      <w:rPr>
        <w:b/>
        <w:bCs/>
        <w:color w:val="333333"/>
        <w:sz w:val="18"/>
        <w:szCs w:val="18"/>
        <w:highlight w:val="white"/>
      </w:rPr>
      <w:t xml:space="preserve">       </w:t>
    </w:r>
  </w:p>
  <w:p w:rsidR="00310CEA" w:rsidRDefault="002D4D2B">
    <w:pPr>
      <w:rPr>
        <w:sz w:val="2"/>
        <w:szCs w:val="2"/>
      </w:rPr>
    </w:pPr>
    <w:r>
      <w:t xml:space="preserve">        </w:t>
    </w:r>
    <w:r>
      <w:rPr>
        <w:color w:val="595959"/>
        <w:sz w:val="16"/>
        <w:szCs w:val="16"/>
      </w:rPr>
      <w:t xml:space="preserve">гр. София, ул. „Генерал Суворов” № 36, e-mail: </w:t>
    </w:r>
    <w:hyperlink r:id="rId3">
      <w:r>
        <w:rPr>
          <w:color w:val="0000FF"/>
          <w:sz w:val="16"/>
          <w:szCs w:val="16"/>
          <w:u w:val="single"/>
        </w:rPr>
        <w:t>2su.em.stanev@2su.bg</w:t>
      </w:r>
    </w:hyperlink>
    <w:r>
      <w:rPr>
        <w:color w:val="595959"/>
        <w:sz w:val="16"/>
        <w:szCs w:val="16"/>
      </w:rPr>
      <w:t>, тел. +3592-955-62-52, факс +3592-856-71-79</w:t>
    </w:r>
  </w:p>
  <w:p w:rsidR="00310CEA" w:rsidRDefault="002D4D2B">
    <w:pPr>
      <w:jc w:val="center"/>
    </w:pPr>
    <w: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F47F4"/>
    <w:multiLevelType w:val="multilevel"/>
    <w:tmpl w:val="52B4317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8F15D49"/>
    <w:multiLevelType w:val="multilevel"/>
    <w:tmpl w:val="FDB6C352"/>
    <w:lvl w:ilvl="0">
      <w:start w:val="1"/>
      <w:numFmt w:val="bullet"/>
      <w:pStyle w:val="2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EBE5FBE"/>
    <w:multiLevelType w:val="multilevel"/>
    <w:tmpl w:val="874875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2593916"/>
    <w:multiLevelType w:val="multilevel"/>
    <w:tmpl w:val="5B88DD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D7B53C6"/>
    <w:multiLevelType w:val="multilevel"/>
    <w:tmpl w:val="38742A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DBE3D1F"/>
    <w:multiLevelType w:val="multilevel"/>
    <w:tmpl w:val="11FA28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EA"/>
    <w:rsid w:val="00170127"/>
    <w:rsid w:val="002D4D2B"/>
    <w:rsid w:val="0031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8400C"/>
  <w15:docId w15:val="{79BD41E5-912F-4739-AFFA-B4E4912E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Нормален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/>
    </w:rPr>
  </w:style>
  <w:style w:type="paragraph" w:customStyle="1" w:styleId="11">
    <w:name w:val="Заглавие 11"/>
    <w:basedOn w:val="1"/>
    <w:next w:val="1"/>
    <w:pPr>
      <w:keepNext/>
      <w:jc w:val="center"/>
    </w:pPr>
    <w:rPr>
      <w:rFonts w:ascii="Arial" w:hAnsi="Arial"/>
      <w:b/>
      <w:sz w:val="28"/>
      <w:lang w:val="bg-BG"/>
    </w:rPr>
  </w:style>
  <w:style w:type="paragraph" w:customStyle="1" w:styleId="210">
    <w:name w:val="Заглавие 21"/>
    <w:basedOn w:val="1"/>
    <w:next w:val="1"/>
    <w:pPr>
      <w:keepNext/>
      <w:ind w:left="4320"/>
      <w:outlineLvl w:val="1"/>
    </w:pPr>
    <w:rPr>
      <w:b/>
      <w:lang w:val="bg-BG"/>
    </w:rPr>
  </w:style>
  <w:style w:type="paragraph" w:customStyle="1" w:styleId="31">
    <w:name w:val="Заглавие 31"/>
    <w:basedOn w:val="1"/>
    <w:next w:val="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bg-BG"/>
    </w:rPr>
  </w:style>
  <w:style w:type="paragraph" w:customStyle="1" w:styleId="41">
    <w:name w:val="Заглавие 41"/>
    <w:basedOn w:val="1"/>
    <w:next w:val="1"/>
    <w:pPr>
      <w:keepNext/>
      <w:ind w:left="5040"/>
      <w:outlineLvl w:val="3"/>
    </w:pPr>
    <w:rPr>
      <w:b/>
      <w:sz w:val="24"/>
      <w:lang w:val="bg-BG"/>
    </w:rPr>
  </w:style>
  <w:style w:type="paragraph" w:customStyle="1" w:styleId="51">
    <w:name w:val="Заглавие 51"/>
    <w:basedOn w:val="1"/>
    <w:next w:val="1"/>
    <w:pPr>
      <w:keepNext/>
      <w:spacing w:line="360" w:lineRule="auto"/>
      <w:jc w:val="both"/>
      <w:outlineLvl w:val="4"/>
    </w:pPr>
    <w:rPr>
      <w:sz w:val="28"/>
      <w:szCs w:val="24"/>
      <w:lang w:val="bg-BG"/>
    </w:rPr>
  </w:style>
  <w:style w:type="paragraph" w:customStyle="1" w:styleId="71">
    <w:name w:val="Заглавие 71"/>
    <w:basedOn w:val="1"/>
    <w:next w:val="1"/>
    <w:pPr>
      <w:spacing w:before="240" w:after="60"/>
      <w:outlineLvl w:val="6"/>
    </w:pPr>
    <w:rPr>
      <w:sz w:val="24"/>
      <w:szCs w:val="24"/>
    </w:rPr>
  </w:style>
  <w:style w:type="paragraph" w:customStyle="1" w:styleId="81">
    <w:name w:val="Заглавие 81"/>
    <w:basedOn w:val="1"/>
    <w:next w:val="1"/>
    <w:pPr>
      <w:spacing w:before="240" w:after="60"/>
      <w:outlineLvl w:val="7"/>
    </w:pPr>
    <w:rPr>
      <w:i/>
      <w:iCs/>
      <w:sz w:val="24"/>
      <w:szCs w:val="24"/>
    </w:rPr>
  </w:style>
  <w:style w:type="character" w:customStyle="1" w:styleId="CharCharCharChar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customStyle="1" w:styleId="10">
    <w:name w:val="Нормална таблиц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Без списък1"/>
  </w:style>
  <w:style w:type="paragraph" w:customStyle="1" w:styleId="13">
    <w:name w:val="Горен колонтитул1"/>
    <w:basedOn w:val="1"/>
    <w:pPr>
      <w:pBdr>
        <w:bottom w:val="double" w:sz="4" w:space="6" w:color="0000FF"/>
      </w:pBdr>
      <w:tabs>
        <w:tab w:val="right" w:pos="14601"/>
      </w:tabs>
    </w:pPr>
    <w:rPr>
      <w:sz w:val="24"/>
    </w:rPr>
  </w:style>
  <w:style w:type="paragraph" w:customStyle="1" w:styleId="14">
    <w:name w:val="Долен колонтитул1"/>
    <w:basedOn w:val="1"/>
    <w:pPr>
      <w:tabs>
        <w:tab w:val="center" w:pos="4320"/>
        <w:tab w:val="right" w:pos="8640"/>
      </w:tabs>
    </w:pPr>
  </w:style>
  <w:style w:type="paragraph" w:customStyle="1" w:styleId="15">
    <w:name w:val="Основен текст1"/>
    <w:basedOn w:val="1"/>
    <w:pPr>
      <w:jc w:val="both"/>
    </w:pPr>
    <w:rPr>
      <w:sz w:val="22"/>
      <w:lang w:val="en-US"/>
    </w:rPr>
  </w:style>
  <w:style w:type="paragraph" w:customStyle="1" w:styleId="211">
    <w:name w:val="Основен текст 21"/>
    <w:basedOn w:val="1"/>
    <w:pPr>
      <w:spacing w:after="120" w:line="480" w:lineRule="auto"/>
    </w:pPr>
  </w:style>
  <w:style w:type="character" w:customStyle="1" w:styleId="16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17">
    <w:name w:val="Мрежа в таблица1"/>
    <w:basedOn w:val="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Строг1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harCharChar">
    <w:name w:val="Char Char 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paragraph" w:customStyle="1" w:styleId="Char">
    <w:name w:val="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paragraph" w:customStyle="1" w:styleId="21">
    <w:name w:val="Списък с водещи символи 21"/>
    <w:basedOn w:val="1"/>
    <w:pPr>
      <w:numPr>
        <w:numId w:val="1"/>
      </w:numPr>
      <w:spacing w:after="240"/>
      <w:ind w:left="-1" w:hanging="1"/>
      <w:jc w:val="both"/>
    </w:pPr>
    <w:rPr>
      <w:sz w:val="24"/>
    </w:rPr>
  </w:style>
  <w:style w:type="paragraph" w:customStyle="1" w:styleId="CharChar">
    <w:name w:val="Char 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paragraph" w:customStyle="1" w:styleId="BodyTextIndentCharCharChar">
    <w:name w:val="Основен текст с отстъп;Body Text Indent Char Char Char"/>
    <w:basedOn w:val="1"/>
    <w:pPr>
      <w:spacing w:after="120"/>
      <w:ind w:left="283"/>
    </w:pPr>
  </w:style>
  <w:style w:type="character" w:customStyle="1" w:styleId="19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leCharCharCharTitle1TitleCharCharCharCharTitleCharCharCharCharTitleCharCharCharCharTitleCharCharCharCharCharTitleCharCharCharCharCharCharTitleCharCharCharCharCharCharCharCharChar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"/>
    <w:pPr>
      <w:pBdr>
        <w:bottom w:val="single" w:sz="6" w:space="1" w:color="auto"/>
      </w:pBdr>
      <w:jc w:val="center"/>
    </w:pPr>
    <w:rPr>
      <w:b/>
      <w:sz w:val="18"/>
      <w:szCs w:val="24"/>
      <w:lang w:val="bg-BG"/>
    </w:rPr>
  </w:style>
  <w:style w:type="character" w:customStyle="1" w:styleId="TitleCharCharCharTitle1TitleCharCharCharChar1TitleCharCharCharCharTitleCharCharCharChar1TitleCharCharCharCharCharTitleCharCharCharCharCharChar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/>
      <w:w w:val="100"/>
      <w:position w:val="-1"/>
      <w:sz w:val="18"/>
      <w:szCs w:val="24"/>
      <w:effect w:val="none"/>
      <w:vertAlign w:val="baseline"/>
      <w:cs w:val="0"/>
      <w:em w:val="none"/>
      <w:lang w:val="bg-BG" w:eastAsia="en-US" w:bidi="ar-SA"/>
    </w:rPr>
  </w:style>
  <w:style w:type="character" w:customStyle="1" w:styleId="FontStyle15">
    <w:name w:val="Font Style15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odyTextIndentCharCharChar0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val="en-GB" w:eastAsia="bg-BG" w:bidi="ar-SA"/>
    </w:rPr>
  </w:style>
  <w:style w:type="character" w:customStyle="1" w:styleId="FontStyle17">
    <w:name w:val="Font Style17"/>
    <w:rPr>
      <w:rFonts w:ascii="Times New Roman" w:hAnsi="Times New Roman" w:cs="Times New Roman"/>
      <w:b/>
      <w:bCs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lt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ala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customStyle="1" w:styleId="CharCharCharCharCharCharCharCharChar">
    <w:name w:val="Char Char Char Char Char Char Char Char 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customStyle="1" w:styleId="alcapt2">
    <w:name w:val="al_capt2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a">
    <w:name w:val="Боряна"/>
    <w:basedOn w:val="11"/>
    <w:pPr>
      <w:spacing w:before="120" w:after="120"/>
    </w:pPr>
    <w:rPr>
      <w:rFonts w:ascii="Times New Roman" w:hAnsi="Times New Roman"/>
      <w:caps/>
      <w:sz w:val="24"/>
      <w:szCs w:val="24"/>
    </w:rPr>
  </w:style>
  <w:style w:type="paragraph" w:customStyle="1" w:styleId="a0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customStyle="1" w:styleId="a1">
    <w:name w:val="Боряна точка"/>
    <w:basedOn w:val="a0"/>
  </w:style>
  <w:style w:type="character" w:customStyle="1" w:styleId="1Oceniteli">
    <w:name w:val="1.Oceniteli"/>
    <w:rPr>
      <w:rFonts w:ascii="Arial" w:hAnsi="Arial" w:cs="Tahoma"/>
      <w:bCs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val="en-US" w:eastAsia="en-US" w:bidi="ar-SA"/>
    </w:rPr>
  </w:style>
  <w:style w:type="paragraph" w:customStyle="1" w:styleId="ListDash3">
    <w:name w:val="List Dash 3"/>
    <w:basedOn w:val="1"/>
    <w:pPr>
      <w:tabs>
        <w:tab w:val="num" w:pos="720"/>
      </w:tabs>
      <w:spacing w:after="240"/>
      <w:jc w:val="both"/>
    </w:pPr>
    <w:rPr>
      <w:sz w:val="24"/>
    </w:rPr>
  </w:style>
  <w:style w:type="paragraph" w:customStyle="1" w:styleId="CharChar1CharCharCharChar">
    <w:name w:val="Char Char1 Char Char Char 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paragraph" w:customStyle="1" w:styleId="bo">
    <w:name w:val="bo"/>
    <w:basedOn w:val="1"/>
    <w:pPr>
      <w:widowControl w:val="0"/>
      <w:shd w:val="clear" w:color="auto" w:fill="FFFFFF"/>
      <w:autoSpaceDE w:val="0"/>
      <w:autoSpaceDN w:val="0"/>
      <w:adjustRightInd w:val="0"/>
      <w:spacing w:line="360" w:lineRule="auto"/>
      <w:ind w:firstLine="709"/>
      <w:jc w:val="both"/>
    </w:pPr>
    <w:rPr>
      <w:rFonts w:ascii="Arial" w:eastAsia="PMingLiU" w:hAnsi="Arial" w:cs="Arial"/>
      <w:lang w:val="bg-BG" w:eastAsia="zh-TW"/>
    </w:rPr>
  </w:style>
  <w:style w:type="paragraph" w:customStyle="1" w:styleId="CharCharCharCharChar">
    <w:name w:val="Char Char Char Char Char"/>
    <w:basedOn w:val="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title1">
    <w:name w:val="title1"/>
    <w:basedOn w:val="1"/>
    <w:pPr>
      <w:spacing w:after="100" w:afterAutospacing="1"/>
      <w:jc w:val="center"/>
    </w:pPr>
    <w:rPr>
      <w:b/>
      <w:bCs/>
      <w:sz w:val="30"/>
      <w:szCs w:val="30"/>
      <w:lang w:val="bg-BG"/>
    </w:rPr>
  </w:style>
  <w:style w:type="paragraph" w:customStyle="1" w:styleId="CharCharCharCharCharChar">
    <w:name w:val="Char Char Char Char Char 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character" w:customStyle="1" w:styleId="hps">
    <w:name w:val="hps"/>
    <w:rPr>
      <w:w w:val="100"/>
      <w:position w:val="-1"/>
      <w:effect w:val="none"/>
      <w:vertAlign w:val="baseline"/>
      <w:cs w:val="0"/>
      <w:em w:val="none"/>
    </w:rPr>
  </w:style>
  <w:style w:type="character" w:customStyle="1" w:styleId="atn">
    <w:name w:val="atn"/>
    <w:rPr>
      <w:w w:val="100"/>
      <w:position w:val="-1"/>
      <w:effect w:val="none"/>
      <w:vertAlign w:val="baseline"/>
      <w:cs w:val="0"/>
      <w:em w:val="none"/>
    </w:rPr>
  </w:style>
  <w:style w:type="paragraph" w:customStyle="1" w:styleId="1a">
    <w:name w:val="Текст под линия1"/>
    <w:basedOn w:val="1"/>
    <w:qFormat/>
    <w:pPr>
      <w:spacing w:after="200" w:line="276" w:lineRule="auto"/>
    </w:pPr>
    <w:rPr>
      <w:rFonts w:ascii="Calibri" w:eastAsia="Calibri" w:hAnsi="Calibri"/>
    </w:rPr>
  </w:style>
  <w:style w:type="character" w:customStyle="1" w:styleId="a2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customStyle="1" w:styleId="1b">
    <w:name w:val="Препратка към бележка под линия1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shorttext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a3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customStyle="1" w:styleId="a4">
    <w:name w:val="Долен колонтитул Знак"/>
    <w:rPr>
      <w:w w:val="100"/>
      <w:position w:val="-1"/>
      <w:effect w:val="none"/>
      <w:vertAlign w:val="baseline"/>
      <w:cs w:val="0"/>
      <w:em w:val="none"/>
      <w:lang w:val="en-GB" w:eastAsia="bg-BG"/>
    </w:rPr>
  </w:style>
  <w:style w:type="paragraph" w:customStyle="1" w:styleId="1c">
    <w:name w:val="Списък на абзаци1"/>
    <w:basedOn w:val="1"/>
    <w:pPr>
      <w:ind w:left="720"/>
    </w:pPr>
  </w:style>
  <w:style w:type="character" w:customStyle="1" w:styleId="longtext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customStyle="1" w:styleId="1d">
    <w:name w:val="Без разредк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</w:rPr>
  </w:style>
  <w:style w:type="character" w:customStyle="1" w:styleId="Voetnoottekens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st1">
    <w:name w:val="st1"/>
    <w:rPr>
      <w:w w:val="100"/>
      <w:position w:val="-1"/>
      <w:effect w:val="none"/>
      <w:vertAlign w:val="baseline"/>
      <w:cs w:val="0"/>
      <w:em w:val="none"/>
    </w:rPr>
  </w:style>
  <w:style w:type="paragraph" w:customStyle="1" w:styleId="1e">
    <w:name w:val="Изнесен текст1"/>
    <w:basedOn w:val="1"/>
    <w:qFormat/>
    <w:rPr>
      <w:rFonts w:ascii="Tahoma" w:eastAsia="Calibri" w:hAnsi="Tahoma"/>
      <w:sz w:val="16"/>
      <w:szCs w:val="16"/>
      <w:lang w:val="bg-BG"/>
    </w:rPr>
  </w:style>
  <w:style w:type="character" w:customStyle="1" w:styleId="a5">
    <w:name w:val="Изнесен текст Знак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customStyle="1" w:styleId="Style1">
    <w:name w:val="Style1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/>
    </w:rPr>
  </w:style>
  <w:style w:type="paragraph" w:customStyle="1" w:styleId="Style2">
    <w:name w:val="Style2"/>
    <w:basedOn w:val="1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hAnsi="Arial" w:cs="Arial"/>
      <w:sz w:val="24"/>
      <w:szCs w:val="24"/>
      <w:lang w:val="en-US"/>
    </w:rPr>
  </w:style>
  <w:style w:type="paragraph" w:customStyle="1" w:styleId="Style5">
    <w:name w:val="Style5"/>
    <w:basedOn w:val="1"/>
    <w:pPr>
      <w:widowControl w:val="0"/>
      <w:autoSpaceDE w:val="0"/>
      <w:autoSpaceDN w:val="0"/>
      <w:adjustRightInd w:val="0"/>
      <w:spacing w:line="317" w:lineRule="atLeast"/>
    </w:pPr>
    <w:rPr>
      <w:rFonts w:ascii="Arial" w:hAnsi="Arial" w:cs="Arial"/>
      <w:sz w:val="24"/>
      <w:szCs w:val="24"/>
      <w:lang w:val="en-US"/>
    </w:rPr>
  </w:style>
  <w:style w:type="paragraph" w:customStyle="1" w:styleId="Style6">
    <w:name w:val="Style6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/>
    </w:rPr>
  </w:style>
  <w:style w:type="paragraph" w:customStyle="1" w:styleId="Style7">
    <w:name w:val="Style7"/>
    <w:basedOn w:val="1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hAnsi="Arial" w:cs="Arial"/>
      <w:sz w:val="24"/>
      <w:szCs w:val="24"/>
      <w:lang w:val="en-US"/>
    </w:rPr>
  </w:style>
  <w:style w:type="paragraph" w:customStyle="1" w:styleId="Style8">
    <w:name w:val="Style8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/>
    </w:rPr>
  </w:style>
  <w:style w:type="paragraph" w:customStyle="1" w:styleId="Style10">
    <w:name w:val="Style10"/>
    <w:basedOn w:val="1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hAnsi="Arial" w:cs="Arial"/>
      <w:sz w:val="24"/>
      <w:szCs w:val="24"/>
      <w:lang w:val="en-US"/>
    </w:rPr>
  </w:style>
  <w:style w:type="paragraph" w:customStyle="1" w:styleId="Style13">
    <w:name w:val="Style13"/>
    <w:basedOn w:val="1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hAnsi="Arial" w:cs="Arial"/>
      <w:sz w:val="24"/>
      <w:szCs w:val="24"/>
      <w:lang w:val="en-US"/>
    </w:rPr>
  </w:style>
  <w:style w:type="paragraph" w:customStyle="1" w:styleId="Style14">
    <w:name w:val="Style14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/>
    </w:rPr>
  </w:style>
  <w:style w:type="character" w:customStyle="1" w:styleId="FontStyle18">
    <w:name w:val="Font Style18"/>
    <w:rPr>
      <w:rFonts w:ascii="Arial" w:hAnsi="Arial" w:cs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FontStyle19">
    <w:name w:val="Font Style19"/>
    <w:rPr>
      <w:rFonts w:ascii="Arial" w:hAnsi="Arial" w:cs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FontStyle20">
    <w:name w:val="Font Style20"/>
    <w:rPr>
      <w:rFonts w:ascii="Arial" w:hAnsi="Arial" w:cs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customStyle="1" w:styleId="FontStyle24">
    <w:name w:val="Font Style24"/>
    <w:rPr>
      <w:rFonts w:ascii="Arial" w:hAnsi="Arial" w:cs="Arial"/>
      <w:b/>
      <w:bCs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HTML1">
    <w:name w:val="HTML стандартен1"/>
    <w:basedOn w:val="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">
    <w:name w:val="HTML стандартен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1f">
    <w:name w:val="Нормален (уеб)1"/>
    <w:basedOn w:val="1"/>
    <w:qFormat/>
    <w:pPr>
      <w:spacing w:before="100" w:beforeAutospacing="1" w:after="100" w:afterAutospacing="1"/>
    </w:pPr>
    <w:rPr>
      <w:sz w:val="24"/>
      <w:szCs w:val="24"/>
      <w:lang w:val="bg-BG"/>
    </w:rPr>
  </w:style>
  <w:style w:type="table" w:customStyle="1" w:styleId="a6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7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2su.em.stanev@2su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kVKCKk7EbpcE3oyVvifp/b7N7Q==">CgMxLjAaHwoBMBIaChgICVIUChJ0YWJsZS55dGtmZzVnZHFlYzEaHwoBMRIaChgICVIUChJ0YWJsZS5kdHZxMDgzczI0emIaHwoBMhIaChgICVIUChJ0YWJsZS45a214dnN1a282OXo4AHIhMTR2dXdzTExhWVFicFp4d2p0dE4wWWlsdTBTTExGWmVG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Antoan Petrov</dc:creator>
  <cp:lastModifiedBy>w</cp:lastModifiedBy>
  <cp:revision>2</cp:revision>
  <dcterms:created xsi:type="dcterms:W3CDTF">2025-05-22T12:33:00Z</dcterms:created>
  <dcterms:modified xsi:type="dcterms:W3CDTF">2026-09-10T12:45:00Z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